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D7D4" w14:textId="3AE3812C" w:rsidR="001130BE" w:rsidRPr="009A5453" w:rsidRDefault="001130BE" w:rsidP="009A5453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</w:rPr>
        <w:t xml:space="preserve">Plan </w:t>
      </w:r>
      <w:proofErr w:type="spellStart"/>
      <w:r w:rsidRPr="009A5453">
        <w:rPr>
          <w:rFonts w:ascii="Garamond" w:hAnsi="Garamond"/>
          <w:b/>
          <w:sz w:val="24"/>
          <w:szCs w:val="24"/>
        </w:rPr>
        <w:t>rada</w:t>
      </w:r>
      <w:proofErr w:type="spellEnd"/>
      <w:r w:rsidRPr="009A5453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9A5453">
        <w:rPr>
          <w:rFonts w:ascii="Garamond" w:hAnsi="Garamond"/>
          <w:b/>
          <w:sz w:val="24"/>
          <w:szCs w:val="24"/>
        </w:rPr>
        <w:t>iz</w:t>
      </w:r>
      <w:proofErr w:type="spellEnd"/>
      <w:r w:rsidRPr="009A5453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9A5453">
        <w:rPr>
          <w:rFonts w:ascii="Garamond" w:hAnsi="Garamond"/>
          <w:b/>
          <w:sz w:val="24"/>
          <w:szCs w:val="24"/>
        </w:rPr>
        <w:t>predmeta</w:t>
      </w:r>
      <w:proofErr w:type="spellEnd"/>
      <w:r w:rsidRPr="009A5453">
        <w:rPr>
          <w:rFonts w:ascii="Garamond" w:hAnsi="Garamond"/>
          <w:b/>
          <w:sz w:val="24"/>
          <w:szCs w:val="24"/>
        </w:rPr>
        <w:t xml:space="preserve"> </w:t>
      </w:r>
      <w:r w:rsidRPr="009A5453">
        <w:rPr>
          <w:rFonts w:ascii="Garamond" w:hAnsi="Garamond"/>
          <w:b/>
          <w:sz w:val="24"/>
          <w:szCs w:val="24"/>
          <w:lang w:val="sr-Latn-ME"/>
        </w:rPr>
        <w:t>„Institucije EU„ za akademsku 20</w:t>
      </w:r>
      <w:r w:rsidR="009A5453" w:rsidRPr="009A5453">
        <w:rPr>
          <w:rFonts w:ascii="Garamond" w:hAnsi="Garamond"/>
          <w:b/>
          <w:sz w:val="24"/>
          <w:szCs w:val="24"/>
          <w:lang w:val="sr-Latn-ME"/>
        </w:rPr>
        <w:t>2</w:t>
      </w:r>
      <w:r w:rsidR="001E51CD">
        <w:rPr>
          <w:rFonts w:ascii="Garamond" w:hAnsi="Garamond"/>
          <w:b/>
          <w:sz w:val="24"/>
          <w:szCs w:val="24"/>
          <w:lang w:val="sr-Latn-ME"/>
        </w:rPr>
        <w:t>1</w:t>
      </w:r>
      <w:r w:rsidRPr="009A5453">
        <w:rPr>
          <w:rFonts w:ascii="Garamond" w:hAnsi="Garamond"/>
          <w:b/>
          <w:sz w:val="24"/>
          <w:szCs w:val="24"/>
          <w:lang w:val="sr-Latn-ME"/>
        </w:rPr>
        <w:t>-20</w:t>
      </w:r>
      <w:r w:rsidR="009A5453" w:rsidRPr="009A5453">
        <w:rPr>
          <w:rFonts w:ascii="Garamond" w:hAnsi="Garamond"/>
          <w:b/>
          <w:sz w:val="24"/>
          <w:szCs w:val="24"/>
          <w:lang w:val="sr-Latn-ME"/>
        </w:rPr>
        <w:t>2</w:t>
      </w:r>
      <w:r w:rsidR="001E51CD">
        <w:rPr>
          <w:rFonts w:ascii="Garamond" w:hAnsi="Garamond"/>
          <w:b/>
          <w:sz w:val="24"/>
          <w:szCs w:val="24"/>
          <w:lang w:val="sr-Latn-ME"/>
        </w:rPr>
        <w:t>2</w:t>
      </w:r>
      <w:r w:rsidRPr="009A5453">
        <w:rPr>
          <w:rFonts w:ascii="Garamond" w:hAnsi="Garamond"/>
          <w:b/>
          <w:sz w:val="24"/>
          <w:szCs w:val="24"/>
          <w:lang w:val="sr-Latn-ME"/>
        </w:rPr>
        <w:t>. godinu</w:t>
      </w:r>
    </w:p>
    <w:p w14:paraId="3601F8FF" w14:textId="037B227A" w:rsidR="009A5453" w:rsidRPr="009A5453" w:rsidRDefault="009A5453" w:rsidP="009A5453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  <w:lang w:val="sr-Latn-ME"/>
        </w:rPr>
        <w:t>Prvi dio</w:t>
      </w:r>
    </w:p>
    <w:p w14:paraId="0AF1A1E6" w14:textId="063C2271" w:rsidR="001130BE" w:rsidRPr="009A5453" w:rsidRDefault="009A5453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1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>.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 xml:space="preserve"> Nastanak i raz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>voj evrop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>s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>ke političke integracije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 xml:space="preserve"> </w:t>
      </w:r>
    </w:p>
    <w:p w14:paraId="6B3A8FB6" w14:textId="4C2D22F3" w:rsidR="001130BE" w:rsidRPr="009A5453" w:rsidRDefault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Prokopijević, M.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unija: uvod, </w:t>
      </w:r>
      <w:r w:rsidRPr="009A5453">
        <w:rPr>
          <w:rFonts w:ascii="Garamond" w:hAnsi="Garamond"/>
          <w:sz w:val="24"/>
          <w:szCs w:val="24"/>
          <w:lang w:val="sr-Latn-ME"/>
        </w:rPr>
        <w:t xml:space="preserve">str. 15-35. Beograd: Službeni glasnik </w:t>
      </w:r>
    </w:p>
    <w:p w14:paraId="439F6CBA" w14:textId="0F1DC69C" w:rsidR="001130BE" w:rsidRPr="009A5453" w:rsidRDefault="001130BE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39-47, Podgorica: Ekonomski fakultet.</w:t>
      </w:r>
    </w:p>
    <w:p w14:paraId="7AA2A083" w14:textId="433D478E" w:rsidR="001130BE" w:rsidRPr="009A5453" w:rsidRDefault="001130BE">
      <w:pPr>
        <w:rPr>
          <w:rFonts w:ascii="Garamond" w:hAnsi="Garamond"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McCormick, J. (2011).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European Union Politics.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str. 59-76. Basingstoke, UK: Palgrave Macmillan.</w:t>
      </w:r>
    </w:p>
    <w:p w14:paraId="50389419" w14:textId="028C80DE" w:rsidR="001130BE" w:rsidRPr="009A5453" w:rsidRDefault="009A5453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2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>. Stvaranje Evropske unije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 xml:space="preserve"> </w:t>
      </w:r>
    </w:p>
    <w:p w14:paraId="07DFB298" w14:textId="043668BE" w:rsidR="001130BE" w:rsidRPr="009A5453" w:rsidRDefault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Ilić, Gasmi, G. (2008).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Pravo i institucije Evropske unije, </w:t>
      </w:r>
      <w:r w:rsidRPr="009A5453">
        <w:rPr>
          <w:rFonts w:ascii="Garamond" w:hAnsi="Garamond"/>
          <w:sz w:val="24"/>
          <w:szCs w:val="24"/>
          <w:lang w:val="sr-Latn-ME"/>
        </w:rPr>
        <w:t>str. 27-40, Beograd: Univerzitet Singidunum.</w:t>
      </w:r>
    </w:p>
    <w:p w14:paraId="01DE00D9" w14:textId="365D0057" w:rsidR="001130BE" w:rsidRPr="009A5453" w:rsidRDefault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Dinan, D.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Sve bliža Unija: uvod u evropsku integraciju, </w:t>
      </w:r>
      <w:r w:rsidRPr="009A5453">
        <w:rPr>
          <w:rFonts w:ascii="Garamond" w:hAnsi="Garamond"/>
          <w:sz w:val="24"/>
          <w:szCs w:val="24"/>
          <w:lang w:val="sr-Latn-ME"/>
        </w:rPr>
        <w:t>str. 126-140, Beograd: Službeni glasnik.</w:t>
      </w:r>
    </w:p>
    <w:p w14:paraId="28E2CFBD" w14:textId="2BD36327" w:rsidR="001130BE" w:rsidRPr="009A5453" w:rsidRDefault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71-76, Podgorica: Ekonomski fakultet.</w:t>
      </w:r>
    </w:p>
    <w:p w14:paraId="678FAA6E" w14:textId="293E267B" w:rsidR="001130BE" w:rsidRPr="009A5453" w:rsidRDefault="001130BE">
      <w:pPr>
        <w:rPr>
          <w:rFonts w:ascii="Garamond" w:hAnsi="Garamond"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Nugent, N. (2010).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The Government and Politics of the European Union,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str. 420-429, Basingstoke, UK: Plagrave Macmillan</w:t>
      </w:r>
    </w:p>
    <w:p w14:paraId="505713C0" w14:textId="4DAFE32D" w:rsidR="001130BE" w:rsidRPr="009A5453" w:rsidRDefault="009A5453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3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>. Evropski savjet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 xml:space="preserve"> </w:t>
      </w:r>
    </w:p>
    <w:p w14:paraId="741456E6" w14:textId="16104DAE" w:rsidR="001130BE" w:rsidRPr="009A5453" w:rsidRDefault="001130BE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Ilić, Gasmi, G. (2008).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Pravo i institucije Evropske unije, </w:t>
      </w:r>
      <w:r w:rsidRPr="009A5453">
        <w:rPr>
          <w:rFonts w:ascii="Garamond" w:hAnsi="Garamond"/>
          <w:sz w:val="24"/>
          <w:szCs w:val="24"/>
          <w:lang w:val="sr-Latn-ME"/>
        </w:rPr>
        <w:t>str. 84-89, Beograd: Univerzitet Singidunum.</w:t>
      </w:r>
    </w:p>
    <w:p w14:paraId="59B297C6" w14:textId="4BC56E2D" w:rsidR="001130BE" w:rsidRPr="009A5453" w:rsidRDefault="001130BE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212-215, Podgorica: Ekonomski fakultet.</w:t>
      </w:r>
    </w:p>
    <w:p w14:paraId="7020A20A" w14:textId="620934FF" w:rsidR="001130BE" w:rsidRPr="009A5453" w:rsidRDefault="001130BE" w:rsidP="001130BE">
      <w:pPr>
        <w:rPr>
          <w:rFonts w:ascii="Garamond" w:hAnsi="Garamond"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Tallberg, J. (2008).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Bargaining power of the European council,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JCMC, 46(3): 685-708</w:t>
      </w:r>
    </w:p>
    <w:p w14:paraId="16430CC1" w14:textId="11302D94" w:rsidR="001130BE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4</w:t>
      </w:r>
      <w:r w:rsidR="001130BE" w:rsidRPr="009A5453">
        <w:rPr>
          <w:rFonts w:ascii="Garamond" w:hAnsi="Garamond"/>
          <w:b/>
          <w:sz w:val="24"/>
          <w:szCs w:val="24"/>
          <w:lang w:val="sr-Latn-ME"/>
        </w:rPr>
        <w:t xml:space="preserve">. 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 xml:space="preserve">Evropska komisija </w:t>
      </w:r>
    </w:p>
    <w:p w14:paraId="3B119A6D" w14:textId="556CF75A" w:rsidR="00F22C30" w:rsidRPr="009A5453" w:rsidRDefault="00F22C30" w:rsidP="00F22C30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Prokopijević, M.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unija: uvod, </w:t>
      </w:r>
      <w:r w:rsidRPr="009A5453">
        <w:rPr>
          <w:rFonts w:ascii="Garamond" w:hAnsi="Garamond"/>
          <w:sz w:val="24"/>
          <w:szCs w:val="24"/>
          <w:lang w:val="sr-Latn-ME"/>
        </w:rPr>
        <w:t xml:space="preserve">str. 62-74. Beograd: Službeni glasnik </w:t>
      </w:r>
    </w:p>
    <w:p w14:paraId="2D5E15F9" w14:textId="15023833" w:rsidR="00F22C30" w:rsidRPr="009A5453" w:rsidRDefault="00F22C30" w:rsidP="00F22C30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221-231; 233-236, Podgorica: Ekonomski fakultet.</w:t>
      </w:r>
    </w:p>
    <w:p w14:paraId="7BB92716" w14:textId="31EA19C2" w:rsidR="00F22C30" w:rsidRPr="009A5453" w:rsidRDefault="00F22C30" w:rsidP="001130BE">
      <w:pPr>
        <w:rPr>
          <w:rFonts w:ascii="Garamond" w:hAnsi="Garamond"/>
          <w:i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Nugent, N. i Rhinard, M. (2011).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The European Commision and the Eropean Unions External Retations After the Lisbon Threaty,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rad predstavljen na konferenciji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European Unions Studies Association,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Boston, mart 3-5</w:t>
      </w:r>
    </w:p>
    <w:p w14:paraId="6C8E80C5" w14:textId="469EB4EC" w:rsidR="00F20765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5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 xml:space="preserve">. Savjet (ministara) EU </w:t>
      </w:r>
    </w:p>
    <w:p w14:paraId="7F62FA95" w14:textId="1A6E8EDF" w:rsidR="00F22C30" w:rsidRPr="009A5453" w:rsidRDefault="00F22C30" w:rsidP="00F22C30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Ilić, Gasmi, G. (2008).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Pravo i institucije Evropske unije, </w:t>
      </w:r>
      <w:r w:rsidR="007326EB" w:rsidRPr="009A5453">
        <w:rPr>
          <w:rFonts w:ascii="Garamond" w:hAnsi="Garamond"/>
          <w:sz w:val="24"/>
          <w:szCs w:val="24"/>
          <w:lang w:val="sr-Latn-ME"/>
        </w:rPr>
        <w:t>str. 89-99</w:t>
      </w:r>
      <w:r w:rsidRPr="009A5453">
        <w:rPr>
          <w:rFonts w:ascii="Garamond" w:hAnsi="Garamond"/>
          <w:sz w:val="24"/>
          <w:szCs w:val="24"/>
          <w:lang w:val="sr-Latn-ME"/>
        </w:rPr>
        <w:t>, Beograd: Univerzitet Singidunum.</w:t>
      </w:r>
    </w:p>
    <w:p w14:paraId="56C413E0" w14:textId="566B52A9" w:rsidR="00F22C30" w:rsidRPr="009A5453" w:rsidRDefault="00F22C30" w:rsidP="00F22C30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="007326EB" w:rsidRPr="009A5453">
        <w:rPr>
          <w:rFonts w:ascii="Garamond" w:hAnsi="Garamond"/>
          <w:sz w:val="24"/>
          <w:szCs w:val="24"/>
          <w:lang w:val="sr-Latn-ME"/>
        </w:rPr>
        <w:t>str. 215-221</w:t>
      </w:r>
      <w:r w:rsidRPr="009A5453">
        <w:rPr>
          <w:rFonts w:ascii="Garamond" w:hAnsi="Garamond"/>
          <w:sz w:val="24"/>
          <w:szCs w:val="24"/>
          <w:lang w:val="sr-Latn-ME"/>
        </w:rPr>
        <w:t>, Podgorica: Ekonomski fakultet.</w:t>
      </w:r>
    </w:p>
    <w:p w14:paraId="5D622052" w14:textId="3052C5CE" w:rsidR="00F22C30" w:rsidRPr="009A5453" w:rsidRDefault="00F22C30" w:rsidP="001130BE">
      <w:pPr>
        <w:rPr>
          <w:rFonts w:ascii="Garamond" w:hAnsi="Garamond"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Lapinsonniere, S. et al. (2014).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New Counclin Voting Rules,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Analysis and Insight, str. 1-4</w:t>
      </w:r>
    </w:p>
    <w:p w14:paraId="3F4CFB15" w14:textId="0ADD92A8" w:rsidR="00F20765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lastRenderedPageBreak/>
        <w:t>6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>. Evropski parlament (</w:t>
      </w:r>
      <w:r w:rsidR="009014C9" w:rsidRPr="009A5453">
        <w:rPr>
          <w:rFonts w:ascii="Garamond" w:hAnsi="Garamond"/>
          <w:b/>
          <w:sz w:val="24"/>
          <w:szCs w:val="24"/>
          <w:lang w:val="sr-Latn-ME"/>
        </w:rPr>
        <w:t>08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>.11</w:t>
      </w:r>
      <w:r w:rsidR="00F20765" w:rsidRPr="009A5453">
        <w:rPr>
          <w:rFonts w:ascii="Garamond" w:hAnsi="Garamond"/>
          <w:b/>
          <w:sz w:val="24"/>
          <w:szCs w:val="24"/>
          <w:lang w:val="sr-Latn-ME"/>
        </w:rPr>
        <w:t>)</w:t>
      </w:r>
    </w:p>
    <w:p w14:paraId="08F57C1A" w14:textId="0AAB3E19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Prokopijević, M.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unija: uvod, </w:t>
      </w:r>
      <w:r w:rsidRPr="009A5453">
        <w:rPr>
          <w:rFonts w:ascii="Garamond" w:hAnsi="Garamond"/>
          <w:sz w:val="24"/>
          <w:szCs w:val="24"/>
          <w:lang w:val="sr-Latn-ME"/>
        </w:rPr>
        <w:t xml:space="preserve">str. 74-84. Beograd: Službeni glasnik </w:t>
      </w:r>
    </w:p>
    <w:p w14:paraId="4CA6A8D1" w14:textId="5AF44C7B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203-212, Podgorica: Ekonomski fakultet.</w:t>
      </w:r>
    </w:p>
    <w:p w14:paraId="6760FF9A" w14:textId="01B7AC88" w:rsidR="007326EB" w:rsidRPr="009A5453" w:rsidRDefault="007326EB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Rezultati izbora za Evropski parlament (dostupni na: </w:t>
      </w:r>
      <w:hyperlink r:id="rId5" w:history="1">
        <w:r w:rsidR="009A5453" w:rsidRPr="009A5453">
          <w:rPr>
            <w:rStyle w:val="Hyperlink"/>
            <w:rFonts w:ascii="Garamond" w:hAnsi="Garamond"/>
            <w:sz w:val="24"/>
            <w:szCs w:val="24"/>
          </w:rPr>
          <w:t>https://www.europarl.europa.eu/election-results-2019/en</w:t>
        </w:r>
      </w:hyperlink>
      <w:r w:rsidR="009A5453" w:rsidRPr="009A5453">
        <w:rPr>
          <w:rFonts w:ascii="Garamond" w:hAnsi="Garamond"/>
          <w:sz w:val="24"/>
          <w:szCs w:val="24"/>
        </w:rPr>
        <w:t xml:space="preserve"> </w:t>
      </w:r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6FFCD507" w14:textId="2DF5FBC4" w:rsidR="00F20765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  <w:lang w:val="sr-Latn-ME"/>
        </w:rPr>
        <w:t>Drugi dio</w:t>
      </w:r>
    </w:p>
    <w:p w14:paraId="01BD0E36" w14:textId="23823C47" w:rsidR="00756380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7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>. Međuinstitucionalna saraadnja na nivou EU prema ugovoru iz Lisabona(21.11)</w:t>
      </w:r>
    </w:p>
    <w:p w14:paraId="46819AB2" w14:textId="1B652940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Dinan, D.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Sve bliža Unija, </w:t>
      </w:r>
      <w:r w:rsidRPr="009A5453">
        <w:rPr>
          <w:rFonts w:ascii="Garamond" w:hAnsi="Garamond"/>
          <w:sz w:val="24"/>
          <w:szCs w:val="24"/>
          <w:lang w:val="sr-Latn-ME"/>
        </w:rPr>
        <w:t>str. 315-330, Beograd: Službeni glasnik.</w:t>
      </w:r>
    </w:p>
    <w:p w14:paraId="7518858A" w14:textId="7BBCDD5E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231-233, Podgorica: Ekonomski fakultet.</w:t>
      </w:r>
    </w:p>
    <w:p w14:paraId="2EEA0E3D" w14:textId="3E9806B8" w:rsidR="007326EB" w:rsidRPr="009A5453" w:rsidRDefault="007326EB" w:rsidP="001130BE">
      <w:pPr>
        <w:rPr>
          <w:rFonts w:ascii="Garamond" w:hAnsi="Garamond"/>
          <w:color w:val="FF0000"/>
          <w:sz w:val="24"/>
          <w:szCs w:val="24"/>
          <w:lang w:val="sr-Latn-ME"/>
        </w:rPr>
      </w:pPr>
      <w:r w:rsidRPr="009A5453">
        <w:rPr>
          <w:rFonts w:ascii="Garamond" w:hAnsi="Garamond"/>
          <w:color w:val="FF0000"/>
          <w:sz w:val="24"/>
          <w:szCs w:val="24"/>
          <w:lang w:val="sr-Latn-ME"/>
        </w:rPr>
        <w:t xml:space="preserve">Monar, J. (2011). </w:t>
      </w:r>
      <w:r w:rsidRPr="009A5453">
        <w:rPr>
          <w:rFonts w:ascii="Garamond" w:hAnsi="Garamond"/>
          <w:i/>
          <w:color w:val="FF0000"/>
          <w:sz w:val="24"/>
          <w:szCs w:val="24"/>
          <w:lang w:val="sr-Latn-ME"/>
        </w:rPr>
        <w:t xml:space="preserve">The European Unions Institutional Balance of Power adther the Treaty of Lisbon, u The Euroepan Union after the Treaty of Lisbon, </w:t>
      </w:r>
      <w:r w:rsidRPr="009A5453">
        <w:rPr>
          <w:rFonts w:ascii="Garamond" w:hAnsi="Garamond"/>
          <w:color w:val="FF0000"/>
          <w:sz w:val="24"/>
          <w:szCs w:val="24"/>
          <w:lang w:val="sr-Latn-ME"/>
        </w:rPr>
        <w:t>str. 1-22, Luxembourg: Publication Office of the European Union</w:t>
      </w:r>
    </w:p>
    <w:p w14:paraId="3A74052E" w14:textId="223309C0" w:rsidR="00756380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8</w:t>
      </w:r>
      <w:r w:rsidR="009014C9" w:rsidRPr="009A5453">
        <w:rPr>
          <w:rFonts w:ascii="Garamond" w:hAnsi="Garamond"/>
          <w:b/>
          <w:sz w:val="24"/>
          <w:szCs w:val="24"/>
          <w:lang w:val="sr-Latn-ME"/>
        </w:rPr>
        <w:t>. Pravni sistem Unije (29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>.11)</w:t>
      </w:r>
    </w:p>
    <w:p w14:paraId="3D6896AF" w14:textId="5A9D4725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236-249, Podgorica: Ekonomski fakultet.</w:t>
      </w:r>
    </w:p>
    <w:p w14:paraId="3FB2833B" w14:textId="2B7A52D0" w:rsidR="00756380" w:rsidRPr="009A5453" w:rsidRDefault="009A5453" w:rsidP="001130BE">
      <w:pPr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b/>
          <w:sz w:val="24"/>
          <w:szCs w:val="24"/>
          <w:lang w:val="sr-Latn-ME"/>
        </w:rPr>
        <w:t>9</w:t>
      </w:r>
      <w:r w:rsidR="009014C9" w:rsidRPr="009A5453">
        <w:rPr>
          <w:rFonts w:ascii="Garamond" w:hAnsi="Garamond"/>
          <w:b/>
          <w:sz w:val="24"/>
          <w:szCs w:val="24"/>
          <w:lang w:val="sr-Latn-ME"/>
        </w:rPr>
        <w:t>. Finansijske institucije EU (6</w:t>
      </w:r>
      <w:r w:rsidR="00756380" w:rsidRPr="009A5453">
        <w:rPr>
          <w:rFonts w:ascii="Garamond" w:hAnsi="Garamond"/>
          <w:b/>
          <w:sz w:val="24"/>
          <w:szCs w:val="24"/>
          <w:lang w:val="sr-Latn-ME"/>
        </w:rPr>
        <w:t>.12)</w:t>
      </w:r>
    </w:p>
    <w:p w14:paraId="65084B74" w14:textId="5C693F6D" w:rsidR="007326EB" w:rsidRPr="009A5453" w:rsidRDefault="007326EB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249-267, Podgorica: Ekonomski fakultet.</w:t>
      </w:r>
    </w:p>
    <w:p w14:paraId="6191B263" w14:textId="1E396476" w:rsidR="00756380" w:rsidRPr="009A5453" w:rsidRDefault="00756380" w:rsidP="001130BE">
      <w:p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  <w:lang w:val="sr-Latn-ME"/>
        </w:rPr>
        <w:t>1</w:t>
      </w:r>
      <w:r w:rsidR="009A5453">
        <w:rPr>
          <w:rFonts w:ascii="Garamond" w:hAnsi="Garamond"/>
          <w:b/>
          <w:sz w:val="24"/>
          <w:szCs w:val="24"/>
          <w:lang w:val="sr-Latn-ME"/>
        </w:rPr>
        <w:t>0</w:t>
      </w:r>
      <w:r w:rsidRPr="009A5453">
        <w:rPr>
          <w:rFonts w:ascii="Garamond" w:hAnsi="Garamond"/>
          <w:b/>
          <w:sz w:val="24"/>
          <w:szCs w:val="24"/>
          <w:lang w:val="sr-Latn-ME"/>
        </w:rPr>
        <w:t xml:space="preserve">. Savjetodavni </w:t>
      </w:r>
      <w:r w:rsidR="009014C9" w:rsidRPr="009A5453">
        <w:rPr>
          <w:rFonts w:ascii="Garamond" w:hAnsi="Garamond"/>
          <w:b/>
          <w:sz w:val="24"/>
          <w:szCs w:val="24"/>
          <w:lang w:val="sr-Latn-ME"/>
        </w:rPr>
        <w:t>organi EU (13</w:t>
      </w:r>
      <w:r w:rsidRPr="009A5453">
        <w:rPr>
          <w:rFonts w:ascii="Garamond" w:hAnsi="Garamond"/>
          <w:b/>
          <w:sz w:val="24"/>
          <w:szCs w:val="24"/>
          <w:lang w:val="sr-Latn-ME"/>
        </w:rPr>
        <w:t>.12)</w:t>
      </w:r>
    </w:p>
    <w:p w14:paraId="7558E4F3" w14:textId="146C5EF8" w:rsidR="007326EB" w:rsidRPr="009A5453" w:rsidRDefault="007326EB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267-271, Podgorica: Ekonomski fakultet.</w:t>
      </w:r>
    </w:p>
    <w:p w14:paraId="5F923BA1" w14:textId="2E8494C7" w:rsidR="00756380" w:rsidRPr="009A5453" w:rsidRDefault="00756380" w:rsidP="001130BE">
      <w:p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  <w:lang w:val="sr-Latn-ME"/>
        </w:rPr>
        <w:t>1</w:t>
      </w:r>
      <w:r w:rsidR="009A5453">
        <w:rPr>
          <w:rFonts w:ascii="Garamond" w:hAnsi="Garamond"/>
          <w:b/>
          <w:sz w:val="24"/>
          <w:szCs w:val="24"/>
          <w:lang w:val="sr-Latn-ME"/>
        </w:rPr>
        <w:t>1</w:t>
      </w:r>
      <w:r w:rsidRPr="009A5453">
        <w:rPr>
          <w:rFonts w:ascii="Garamond" w:hAnsi="Garamond"/>
          <w:b/>
          <w:sz w:val="24"/>
          <w:szCs w:val="24"/>
          <w:lang w:val="sr-Latn-ME"/>
        </w:rPr>
        <w:t>. EU kao a</w:t>
      </w:r>
      <w:r w:rsidR="009014C9" w:rsidRPr="009A5453">
        <w:rPr>
          <w:rFonts w:ascii="Garamond" w:hAnsi="Garamond"/>
          <w:b/>
          <w:sz w:val="24"/>
          <w:szCs w:val="24"/>
          <w:lang w:val="sr-Latn-ME"/>
        </w:rPr>
        <w:t>kter u međunarodnim odnosima (20</w:t>
      </w:r>
      <w:r w:rsidRPr="009A5453">
        <w:rPr>
          <w:rFonts w:ascii="Garamond" w:hAnsi="Garamond"/>
          <w:b/>
          <w:sz w:val="24"/>
          <w:szCs w:val="24"/>
          <w:lang w:val="sr-Latn-ME"/>
        </w:rPr>
        <w:t>.12)</w:t>
      </w:r>
    </w:p>
    <w:p w14:paraId="3145ED66" w14:textId="58C68446" w:rsidR="007326EB" w:rsidRPr="009A5453" w:rsidRDefault="007326EB" w:rsidP="007326EB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Dinan, D. (2009).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Sve bliža Unija, </w:t>
      </w:r>
      <w:r w:rsidRPr="009A5453">
        <w:rPr>
          <w:rFonts w:ascii="Garamond" w:hAnsi="Garamond"/>
          <w:sz w:val="24"/>
          <w:szCs w:val="24"/>
          <w:lang w:val="sr-Latn-ME"/>
        </w:rPr>
        <w:t>str. 544-564, Beograd: Službeni glasnik.</w:t>
      </w:r>
    </w:p>
    <w:p w14:paraId="24C1938A" w14:textId="70340DBB" w:rsidR="007326EB" w:rsidRPr="009A5453" w:rsidRDefault="007326EB" w:rsidP="001130BE">
      <w:pPr>
        <w:rPr>
          <w:rFonts w:ascii="Garamond" w:hAnsi="Garamond"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- Đurović, G. (2012). </w:t>
      </w:r>
      <w:r w:rsidRPr="009A5453">
        <w:rPr>
          <w:rFonts w:ascii="Garamond" w:hAnsi="Garamond"/>
          <w:i/>
          <w:sz w:val="24"/>
          <w:szCs w:val="24"/>
          <w:lang w:val="sr-Latn-ME"/>
        </w:rPr>
        <w:t xml:space="preserve">Evropska unija i Crna Gora, politika proširenja, </w:t>
      </w:r>
      <w:r w:rsidRPr="009A5453">
        <w:rPr>
          <w:rFonts w:ascii="Garamond" w:hAnsi="Garamond"/>
          <w:sz w:val="24"/>
          <w:szCs w:val="24"/>
          <w:lang w:val="sr-Latn-ME"/>
        </w:rPr>
        <w:t>str. 198-201, Podgorica: Ekonomski fakultet.</w:t>
      </w:r>
    </w:p>
    <w:p w14:paraId="0C73907E" w14:textId="1786F580" w:rsidR="007326EB" w:rsidRPr="009A5453" w:rsidRDefault="007326EB">
      <w:p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b/>
          <w:sz w:val="24"/>
          <w:szCs w:val="24"/>
          <w:lang w:val="sr-Latn-ME"/>
        </w:rPr>
        <w:t>Korisni linkovi:</w:t>
      </w:r>
    </w:p>
    <w:p w14:paraId="2F84F39C" w14:textId="0656C583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Evropske unije (</w:t>
      </w:r>
      <w:hyperlink r:id="rId6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http://europa.eu/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257270EC" w14:textId="7FD62FFB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Evropskog savjeta (</w:t>
      </w:r>
      <w:hyperlink r:id="rId7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http://www.consilium.europa.eu/en/council-eu/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4412DFF6" w14:textId="4922F325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Evropske komisije (</w:t>
      </w:r>
      <w:r w:rsidR="002C1F8F" w:rsidRPr="009A5453">
        <w:rPr>
          <w:rFonts w:ascii="Garamond" w:hAnsi="Garamond"/>
          <w:sz w:val="24"/>
          <w:szCs w:val="24"/>
          <w:lang w:val="sr-Latn-ME"/>
        </w:rPr>
        <w:t xml:space="preserve"> </w:t>
      </w:r>
      <w:hyperlink r:id="rId8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https://ec.europa.eu/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343286C8" w14:textId="3550D8A9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Savjeta (</w:t>
      </w:r>
      <w:hyperlink r:id="rId9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http://www.consilium.europa.eu/en/european-council/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6000E150" w14:textId="572659DF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Parlamenta (</w:t>
      </w:r>
      <w:hyperlink r:id="rId10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http://www.europarl.europa.eu/portal/en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3EB61422" w14:textId="7B995D70" w:rsidR="007326EB" w:rsidRPr="009A5453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Zvanični sajt Suda p</w:t>
      </w:r>
      <w:r w:rsidR="007326EB" w:rsidRPr="009A5453">
        <w:rPr>
          <w:rFonts w:ascii="Garamond" w:hAnsi="Garamond"/>
          <w:sz w:val="24"/>
          <w:szCs w:val="24"/>
          <w:lang w:val="sr-Latn-ME"/>
        </w:rPr>
        <w:t>ravde EU (</w:t>
      </w:r>
      <w:hyperlink r:id="rId11" w:history="1">
        <w:r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https://europa.eu/european-union/about-eu/institutions-bodies/court-justice_en</w:t>
        </w:r>
      </w:hyperlink>
      <w:r w:rsidR="007326EB"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14C8FB48" w14:textId="06E7DC60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Zvaničn</w:t>
      </w:r>
      <w:r w:rsidR="002C1F8F" w:rsidRPr="009A5453">
        <w:rPr>
          <w:rFonts w:ascii="Garamond" w:hAnsi="Garamond"/>
          <w:sz w:val="24"/>
          <w:szCs w:val="24"/>
          <w:lang w:val="sr-Latn-ME"/>
        </w:rPr>
        <w:t>i sajt Evropske centralne banke</w:t>
      </w:r>
      <w:r w:rsidRPr="009A5453">
        <w:rPr>
          <w:rFonts w:ascii="Garamond" w:hAnsi="Garamond"/>
          <w:sz w:val="24"/>
          <w:szCs w:val="24"/>
          <w:lang w:val="sr-Latn-ME"/>
        </w:rPr>
        <w:t>(</w:t>
      </w:r>
      <w:r w:rsidR="002C1F8F" w:rsidRPr="009A5453">
        <w:rPr>
          <w:rFonts w:ascii="Garamond" w:hAnsi="Garamond"/>
          <w:sz w:val="24"/>
          <w:szCs w:val="24"/>
          <w:lang w:val="sr-Latn-ME"/>
        </w:rPr>
        <w:t xml:space="preserve"> </w:t>
      </w:r>
      <w:hyperlink r:id="rId12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https://www.ecb.europa.eu/home/html/index.en.html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4CB09C8E" w14:textId="68411602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lastRenderedPageBreak/>
        <w:t>Zvanični sajt Evropske službe za vanjske poslove (</w:t>
      </w:r>
      <w:hyperlink r:id="rId13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https://eeas.europa.eu/index_hr.htm</w:t>
        </w:r>
      </w:hyperlink>
      <w:r w:rsidR="002C1F8F" w:rsidRPr="009A5453">
        <w:rPr>
          <w:rFonts w:ascii="Garamond" w:hAnsi="Garamond"/>
          <w:sz w:val="24"/>
          <w:szCs w:val="24"/>
          <w:lang w:val="sr-Latn-ME"/>
        </w:rPr>
        <w:t xml:space="preserve"> </w:t>
      </w:r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5FE9230C" w14:textId="604D8B5C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Google scholar (</w:t>
      </w:r>
      <w:hyperlink r:id="rId14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https://scholar.google.com/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68D43A1A" w14:textId="188C3CF4" w:rsidR="007326EB" w:rsidRPr="009A5453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Foreing policy (</w:t>
      </w:r>
      <w:hyperlink r:id="rId15" w:history="1">
        <w:r w:rsidR="002C1F8F"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https://foreignpolicy.com/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7C0883EB" w14:textId="3957E864" w:rsidR="007326EB" w:rsidRPr="009A5453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 xml:space="preserve">Foreign Affairs ( </w:t>
      </w:r>
      <w:hyperlink r:id="rId16" w:history="1">
        <w:r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https://www.foreignaffairs.com/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2356A3F1" w14:textId="26BAAB31" w:rsidR="002C1F8F" w:rsidRPr="009A5453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The Economist (</w:t>
      </w:r>
      <w:hyperlink r:id="rId17" w:history="1">
        <w:r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https://www.economist.com/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p w14:paraId="061D59BE" w14:textId="66C434F7" w:rsidR="002C1F8F" w:rsidRPr="009A5453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Spiegel (</w:t>
      </w:r>
      <w:hyperlink r:id="rId18" w:history="1">
        <w:r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http://www.spiegel.de/international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 xml:space="preserve"> )</w:t>
      </w:r>
    </w:p>
    <w:p w14:paraId="38CD8B06" w14:textId="181C7B57" w:rsidR="002C1F8F" w:rsidRPr="009A5453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  <w:lang w:val="sr-Latn-ME"/>
        </w:rPr>
      </w:pPr>
      <w:r w:rsidRPr="009A5453">
        <w:rPr>
          <w:rFonts w:ascii="Garamond" w:hAnsi="Garamond"/>
          <w:sz w:val="24"/>
          <w:szCs w:val="24"/>
          <w:lang w:val="sr-Latn-ME"/>
        </w:rPr>
        <w:t>EU Institute for Security Studies (</w:t>
      </w:r>
      <w:hyperlink r:id="rId19" w:history="1">
        <w:r w:rsidRPr="009A5453">
          <w:rPr>
            <w:rStyle w:val="Hyperlink"/>
            <w:rFonts w:ascii="Garamond" w:hAnsi="Garamond"/>
            <w:sz w:val="24"/>
            <w:szCs w:val="24"/>
            <w:lang w:val="sr-Latn-ME"/>
          </w:rPr>
          <w:t>https://www.iss.europa.eu/</w:t>
        </w:r>
      </w:hyperlink>
      <w:r w:rsidRPr="009A5453">
        <w:rPr>
          <w:rFonts w:ascii="Garamond" w:hAnsi="Garamond"/>
          <w:sz w:val="24"/>
          <w:szCs w:val="24"/>
          <w:lang w:val="sr-Latn-ME"/>
        </w:rPr>
        <w:t>)</w:t>
      </w:r>
    </w:p>
    <w:sectPr w:rsidR="002C1F8F" w:rsidRPr="009A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079"/>
    <w:multiLevelType w:val="hybridMultilevel"/>
    <w:tmpl w:val="215AE53E"/>
    <w:lvl w:ilvl="0" w:tplc="F3B4D1E0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52"/>
    <w:rsid w:val="001130BE"/>
    <w:rsid w:val="001E51CD"/>
    <w:rsid w:val="002C1F8F"/>
    <w:rsid w:val="002F5F52"/>
    <w:rsid w:val="007326EB"/>
    <w:rsid w:val="00756380"/>
    <w:rsid w:val="009014C9"/>
    <w:rsid w:val="009A5453"/>
    <w:rsid w:val="00C731A1"/>
    <w:rsid w:val="00DE057C"/>
    <w:rsid w:val="00F20765"/>
    <w:rsid w:val="00F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0D04"/>
  <w15:chartTrackingRefBased/>
  <w15:docId w15:val="{511190AA-0F6C-4071-8673-5F281860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6E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326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1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" TargetMode="External"/><Relationship Id="rId13" Type="http://schemas.openxmlformats.org/officeDocument/2006/relationships/hyperlink" Target="https://eeas.europa.eu/index_hr.htm" TargetMode="External"/><Relationship Id="rId18" Type="http://schemas.openxmlformats.org/officeDocument/2006/relationships/hyperlink" Target="http://www.spiegel.de/internation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ilium.europa.eu/en/council-eu/" TargetMode="External"/><Relationship Id="rId12" Type="http://schemas.openxmlformats.org/officeDocument/2006/relationships/hyperlink" Target="https://www.ecb.europa.eu/home/html/index.en.html" TargetMode="External"/><Relationship Id="rId17" Type="http://schemas.openxmlformats.org/officeDocument/2006/relationships/hyperlink" Target="https://www.economi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eignaffairs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uropa.eu/" TargetMode="External"/><Relationship Id="rId11" Type="http://schemas.openxmlformats.org/officeDocument/2006/relationships/hyperlink" Target="https://europa.eu/european-union/about-eu/institutions-bodies/court-justice_en" TargetMode="External"/><Relationship Id="rId5" Type="http://schemas.openxmlformats.org/officeDocument/2006/relationships/hyperlink" Target="https://www.europarl.europa.eu/election-results-2019/en" TargetMode="External"/><Relationship Id="rId15" Type="http://schemas.openxmlformats.org/officeDocument/2006/relationships/hyperlink" Target="https://foreignpolicy.com/" TargetMode="External"/><Relationship Id="rId10" Type="http://schemas.openxmlformats.org/officeDocument/2006/relationships/hyperlink" Target="http://www.europarl.europa.eu/portal/en" TargetMode="External"/><Relationship Id="rId19" Type="http://schemas.openxmlformats.org/officeDocument/2006/relationships/hyperlink" Target="https://www.iss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ilium.europa.eu/en/european-council/" TargetMode="External"/><Relationship Id="rId14" Type="http://schemas.openxmlformats.org/officeDocument/2006/relationships/hyperlink" Target="https://scholar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6</cp:revision>
  <dcterms:created xsi:type="dcterms:W3CDTF">2018-09-27T07:04:00Z</dcterms:created>
  <dcterms:modified xsi:type="dcterms:W3CDTF">2021-10-28T06:08:00Z</dcterms:modified>
</cp:coreProperties>
</file>